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5" w:rsidRPr="00747285" w:rsidRDefault="00747285" w:rsidP="0074728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FFFFFF"/>
          <w:kern w:val="36"/>
          <w:sz w:val="42"/>
          <w:szCs w:val="42"/>
          <w:lang w:eastAsia="ru-RU"/>
        </w:rPr>
      </w:pPr>
      <w:r w:rsidRPr="00747285">
        <w:rPr>
          <w:rFonts w:ascii="Verdana" w:eastAsia="Times New Roman" w:hAnsi="Verdana" w:cs="Times New Roman"/>
          <w:color w:val="FFFFFF"/>
          <w:kern w:val="36"/>
          <w:sz w:val="42"/>
          <w:szCs w:val="42"/>
          <w:lang w:eastAsia="ru-RU"/>
        </w:rPr>
        <w:t xml:space="preserve">Об утверждении технического регламента о безопасности сетей газораспределения и </w:t>
      </w:r>
      <w:proofErr w:type="spellStart"/>
      <w:r w:rsidRPr="00747285">
        <w:rPr>
          <w:rFonts w:ascii="Verdana" w:eastAsia="Times New Roman" w:hAnsi="Verdana" w:cs="Times New Roman"/>
          <w:color w:val="FFFFFF"/>
          <w:kern w:val="36"/>
          <w:sz w:val="42"/>
          <w:szCs w:val="42"/>
          <w:lang w:eastAsia="ru-RU"/>
        </w:rPr>
        <w:t>газопотребления</w:t>
      </w:r>
      <w:proofErr w:type="spellEnd"/>
      <w:r w:rsidRPr="00747285">
        <w:rPr>
          <w:rFonts w:ascii="Verdana" w:eastAsia="Times New Roman" w:hAnsi="Verdana" w:cs="Times New Roman"/>
          <w:color w:val="FFFFFF"/>
          <w:kern w:val="36"/>
          <w:sz w:val="42"/>
          <w:szCs w:val="42"/>
          <w:lang w:eastAsia="ru-RU"/>
        </w:rPr>
        <w:t xml:space="preserve"> (с изменениями на 23 июня 2011 года)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br/>
        <w:t>ПРАВИТЕЛЬСТВО РОССИЙСКОЙ ФЕДЕРАЦИИ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>ПОСТАНОВЛЕНИЕ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>от 29 октября 2010 года N 870</w:t>
      </w:r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br/>
      </w:r>
    </w:p>
    <w:p w:rsidR="00747285" w:rsidRPr="00747285" w:rsidRDefault="00747285" w:rsidP="00747285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 xml:space="preserve"> Об утверждении технического регламента о безопасности сетей газораспределения и </w:t>
      </w:r>
      <w:proofErr w:type="spellStart"/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>газопотребления</w:t>
      </w:r>
      <w:proofErr w:type="spellEnd"/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> </w:t>
      </w:r>
    </w:p>
    <w:p w:rsidR="00747285" w:rsidRPr="00747285" w:rsidRDefault="00747285" w:rsidP="00747285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(с изменениями на 23 июня 2011 года)</w:t>
      </w:r>
    </w:p>
    <w:p w:rsidR="00747285" w:rsidRPr="00747285" w:rsidRDefault="00747285" w:rsidP="00747285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____________________________________________________________________ 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     Документ с изменениями, внесенными: 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     постановлением Правительства Российской Федерации от 23 июня 2011 года N 497 (Собрание законодательства Российской Федерации, N 26, 27.06.2011). 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____________________________________________________________________ 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     В соответствии с Федеральным законом "О техническом регулировании" Правительство Российской Федерации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постановляет: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     1. Утвердить прилагаемый технический регламент о безопасности сетей газораспределения и </w:t>
      </w:r>
      <w:proofErr w:type="spell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газопотребления</w:t>
      </w:r>
      <w:proofErr w:type="spellEnd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.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  <w:r w:rsidRPr="00747285">
        <w:rPr>
          <w:rFonts w:ascii="Verdana" w:eastAsia="Times New Roman" w:hAnsi="Verdana" w:cs="Times New Roman"/>
          <w:b/>
          <w:color w:val="FF0000"/>
          <w:sz w:val="23"/>
          <w:szCs w:val="23"/>
          <w:lang w:eastAsia="ru-RU"/>
        </w:rPr>
        <w:t>     Указанный технический регламент вступает в силу по истечении 12 месяцев со дня официального опубликования настоящего постановления.</w:t>
      </w:r>
      <w:bookmarkStart w:id="0" w:name="_GoBack"/>
      <w:bookmarkEnd w:id="0"/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     2. </w:t>
      </w:r>
      <w:proofErr w:type="gram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Установить, что государственный контроль (надзор) за соблюдением требований, устанавливаемых техническим регламентом,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газопотребления</w:t>
      </w:r>
      <w:proofErr w:type="spellEnd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</w:t>
      </w:r>
      <w:proofErr w:type="gramEnd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, предусмотренных этому федеральному органу 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lastRenderedPageBreak/>
        <w:t>исполнительной власти в федеральном бюджете на руководство и управление в сфере установленных функций.</w:t>
      </w:r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     3. </w:t>
      </w:r>
      <w:proofErr w:type="gram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</w:t>
      </w:r>
      <w:proofErr w:type="spell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газопотребления</w:t>
      </w:r>
      <w:proofErr w:type="spellEnd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 xml:space="preserve"> и осуществления оценки соответствия.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  <w:proofErr w:type="gramEnd"/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Председатель Правительства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Российской Федерации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  <w:proofErr w:type="spell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В.Путин</w:t>
      </w:r>
      <w:proofErr w:type="spellEnd"/>
    </w:p>
    <w:p w:rsidR="00747285" w:rsidRPr="00747285" w:rsidRDefault="00747285" w:rsidP="00747285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bookmarkStart w:id="1" w:name="0000000000000000000000000000000000000000"/>
      <w:bookmarkEnd w:id="1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  <w:proofErr w:type="gramStart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УТВЕРЖДЕН</w:t>
      </w:r>
      <w:proofErr w:type="gramEnd"/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постановлением Правительства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Российской Федерации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от 29 октября 2010 года N 870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</w:r>
    </w:p>
    <w:p w:rsidR="00747285" w:rsidRPr="00747285" w:rsidRDefault="00747285" w:rsidP="00747285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 xml:space="preserve">Технический регламент о безопасности сетей газораспределения и </w:t>
      </w:r>
      <w:proofErr w:type="spellStart"/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>газопотребления</w:t>
      </w:r>
      <w:proofErr w:type="spellEnd"/>
      <w:r w:rsidRPr="00747285">
        <w:rPr>
          <w:rFonts w:ascii="Verdana" w:eastAsia="Times New Roman" w:hAnsi="Verdana" w:cs="Times New Roman"/>
          <w:b/>
          <w:bCs/>
          <w:color w:val="4C4C4C"/>
          <w:sz w:val="23"/>
          <w:szCs w:val="23"/>
          <w:lang w:eastAsia="ru-RU"/>
        </w:rPr>
        <w:t> </w:t>
      </w:r>
    </w:p>
    <w:p w:rsidR="00747285" w:rsidRPr="00747285" w:rsidRDefault="00747285" w:rsidP="00747285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t>(с изменениями на 23 июня 2011 года)</w:t>
      </w:r>
    </w:p>
    <w:p w:rsidR="00747285" w:rsidRPr="00747285" w:rsidRDefault="00747285" w:rsidP="00747285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</w:pP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     Перечни национальных стандартов и иных документов,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   обеспечивающих соблюдение требований</w:t>
      </w:r>
      <w:r w:rsidRPr="00747285">
        <w:rPr>
          <w:rFonts w:ascii="Verdana" w:eastAsia="Times New Roman" w:hAnsi="Verdana" w:cs="Times New Roman"/>
          <w:color w:val="4C4C4C"/>
          <w:sz w:val="23"/>
          <w:szCs w:val="23"/>
          <w:lang w:eastAsia="ru-RU"/>
        </w:rPr>
        <w:br/>
        <w:t>   настоящего Технического регламента </w:t>
      </w:r>
    </w:p>
    <w:p w:rsidR="00EA2373" w:rsidRDefault="00EA2373"/>
    <w:sectPr w:rsidR="00EA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5"/>
    <w:rsid w:val="00747285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2012-03-02T19:34:00Z</dcterms:created>
  <dcterms:modified xsi:type="dcterms:W3CDTF">2012-03-02T19:37:00Z</dcterms:modified>
</cp:coreProperties>
</file>